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47FA4EB2" w:rsidR="00A85E54" w:rsidRPr="000613D3" w:rsidRDefault="00A85E54" w:rsidP="00A85E54">
      <w:pPr>
        <w:pStyle w:val="Header"/>
        <w:tabs>
          <w:tab w:val="clear" w:pos="4536"/>
        </w:tabs>
        <w:rPr>
          <w:i/>
          <w:lang w:val="de-DE"/>
        </w:rPr>
      </w:pPr>
      <w:r w:rsidRPr="000613D3">
        <w:rPr>
          <w:lang w:val="de-DE"/>
        </w:rPr>
        <w:t>TSG-RAN WG1 #</w:t>
      </w:r>
      <w:r w:rsidR="0056282E" w:rsidRPr="000613D3">
        <w:rPr>
          <w:lang w:val="de-DE"/>
        </w:rPr>
        <w:t>86</w:t>
      </w:r>
      <w:r w:rsidR="00AC2A5F" w:rsidRPr="000613D3">
        <w:rPr>
          <w:lang w:val="de-DE"/>
        </w:rPr>
        <w:t>bis</w:t>
      </w:r>
      <w:r w:rsidRPr="000613D3">
        <w:rPr>
          <w:lang w:val="de-DE"/>
        </w:rPr>
        <w:tab/>
        <w:t>R1-</w:t>
      </w:r>
      <w:r w:rsidR="00CF442A" w:rsidRPr="00CF442A">
        <w:rPr>
          <w:lang w:val="de-DE"/>
        </w:rPr>
        <w:t>1609621</w:t>
      </w:r>
    </w:p>
    <w:p w14:paraId="4A9AC3FA" w14:textId="77777777" w:rsidR="00A85E54" w:rsidRPr="000833FA" w:rsidRDefault="004837C7" w:rsidP="00A85E54">
      <w:pPr>
        <w:pStyle w:val="Header"/>
        <w:rPr>
          <w:color w:val="000000"/>
        </w:rPr>
      </w:pPr>
      <w:r>
        <w:t>Lisbon</w:t>
      </w:r>
      <w:r w:rsidR="0056282E">
        <w:t xml:space="preserve">, </w:t>
      </w:r>
      <w:r>
        <w:t>Portugal</w:t>
      </w:r>
      <w:r w:rsidR="0056282E">
        <w:t xml:space="preserve">, </w:t>
      </w:r>
      <w:r w:rsidR="00AC2A5F">
        <w:t>October</w:t>
      </w:r>
      <w:r w:rsidR="0056282E">
        <w:t xml:space="preserve"> </w:t>
      </w:r>
      <w:r w:rsidR="00AC2A5F">
        <w:t>10 – 14</w:t>
      </w:r>
      <w:r w:rsidR="0056282E">
        <w:t>, 2016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4E216C4F" w14:textId="7777777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037C51" w:rsidRPr="00E220C0">
        <w:t xml:space="preserve">On </w:t>
      </w:r>
      <w:r w:rsidR="0067157B">
        <w:t>carrier bandwidth</w:t>
      </w:r>
    </w:p>
    <w:p w14:paraId="7344DFB9" w14:textId="77777777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D516DD" w:rsidRPr="00537B4C">
        <w:t>8</w:t>
      </w:r>
      <w:r w:rsidR="008F77A7" w:rsidRPr="00537B4C">
        <w:t>.1.</w:t>
      </w:r>
      <w:r w:rsidR="00537B4C" w:rsidRPr="00537B4C">
        <w:t>2.2</w:t>
      </w:r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DDB7F28" w14:textId="2F7B4B43" w:rsidR="00855236" w:rsidRDefault="0067157B" w:rsidP="0056282E">
      <w:pPr>
        <w:pStyle w:val="BodyText"/>
      </w:pPr>
      <w:r>
        <w:t xml:space="preserve">In LTE Rel-8 the maximum </w:t>
      </w:r>
      <w:r w:rsidR="00354BB2">
        <w:t xml:space="preserve">transmission bandwidth configuration </w:t>
      </w:r>
      <w:r>
        <w:t xml:space="preserve">has been set to 110 PRB (from a RAN1 perspective) while RAN4 specified a maximum channel bandwidth of 20 MHz corresponding to </w:t>
      </w:r>
      <w:r w:rsidR="00354BB2">
        <w:t xml:space="preserve">a transmission bandwidth configuration </w:t>
      </w:r>
      <w:r w:rsidR="00D167C9">
        <w:t xml:space="preserve">of </w:t>
      </w:r>
      <w:r>
        <w:t xml:space="preserve">100 PRB. In Rel-10 wider carriers were introduced by carrier aggregation, but each </w:t>
      </w:r>
      <w:r w:rsidR="00354BB2">
        <w:t xml:space="preserve">maximum </w:t>
      </w:r>
      <w:r>
        <w:t xml:space="preserve">component carrier </w:t>
      </w:r>
      <w:r w:rsidR="00354BB2">
        <w:t xml:space="preserve">bandwidth </w:t>
      </w:r>
      <w:r>
        <w:t xml:space="preserve">was still the same as in Rel-8. In this paper we discuss how NR should be prepared for </w:t>
      </w:r>
      <w:r w:rsidR="00D167C9">
        <w:t>channel</w:t>
      </w:r>
      <w:r>
        <w:t xml:space="preserve"> bandwidth</w:t>
      </w:r>
      <w:r w:rsidR="00D167C9">
        <w:t>s</w:t>
      </w:r>
      <w:r>
        <w:t xml:space="preserve"> larger than what </w:t>
      </w:r>
      <w:r w:rsidR="00185D0A">
        <w:t>is seen necessary for today</w:t>
      </w:r>
      <w:r>
        <w:t>.</w:t>
      </w:r>
    </w:p>
    <w:p w14:paraId="28A9E7F7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1934BEAF" w14:textId="707A2C96" w:rsidR="00185D0A" w:rsidRDefault="00354BB2" w:rsidP="00DD4245">
      <w:pPr>
        <w:pStyle w:val="BodyText"/>
        <w:rPr>
          <w:lang w:eastAsia="ja-JP"/>
        </w:rPr>
      </w:pPr>
      <w:r>
        <w:rPr>
          <w:lang w:eastAsia="ja-JP"/>
        </w:rPr>
        <w:t>For</w:t>
      </w:r>
      <w:r w:rsidR="00185D0A">
        <w:rPr>
          <w:lang w:eastAsia="ja-JP"/>
        </w:rPr>
        <w:t xml:space="preserve"> several spectrum bands it is difficult to predict what exact </w:t>
      </w:r>
      <w:r>
        <w:rPr>
          <w:lang w:eastAsia="ja-JP"/>
        </w:rPr>
        <w:t>(maximum) channel</w:t>
      </w:r>
      <w:r w:rsidR="00185D0A">
        <w:rPr>
          <w:lang w:eastAsia="ja-JP"/>
        </w:rPr>
        <w:t xml:space="preserve"> bandwidths are needed</w:t>
      </w:r>
      <w:r>
        <w:rPr>
          <w:lang w:eastAsia="ja-JP"/>
        </w:rPr>
        <w:t xml:space="preserve"> in the future</w:t>
      </w:r>
      <w:r w:rsidR="00185D0A">
        <w:rPr>
          <w:lang w:eastAsia="ja-JP"/>
        </w:rPr>
        <w:t xml:space="preserve">. But one can foresee </w:t>
      </w:r>
      <w:r>
        <w:rPr>
          <w:lang w:eastAsia="ja-JP"/>
        </w:rPr>
        <w:t>for</w:t>
      </w:r>
      <w:r w:rsidR="00185D0A">
        <w:rPr>
          <w:lang w:eastAsia="ja-JP"/>
        </w:rPr>
        <w:t xml:space="preserve"> several bands very large </w:t>
      </w:r>
      <w:r>
        <w:rPr>
          <w:lang w:eastAsia="ja-JP"/>
        </w:rPr>
        <w:t>channel</w:t>
      </w:r>
      <w:r w:rsidR="00185D0A">
        <w:rPr>
          <w:lang w:eastAsia="ja-JP"/>
        </w:rPr>
        <w:t xml:space="preserve"> bandwidth which would put an unnecessary burden on each UE if all UEs would have to implement the maximum specified </w:t>
      </w:r>
      <w:r>
        <w:rPr>
          <w:lang w:eastAsia="ja-JP"/>
        </w:rPr>
        <w:t>channel</w:t>
      </w:r>
      <w:r w:rsidR="00185D0A">
        <w:rPr>
          <w:lang w:eastAsia="ja-JP"/>
        </w:rPr>
        <w:t xml:space="preserve"> bandwidth for supported bands. This is certainly true for machine type devices but even for eMBB terminals it is not obvious that each one should support the maximum </w:t>
      </w:r>
      <w:r>
        <w:rPr>
          <w:lang w:eastAsia="ja-JP"/>
        </w:rPr>
        <w:t>channel</w:t>
      </w:r>
      <w:r w:rsidR="00185D0A">
        <w:rPr>
          <w:lang w:eastAsia="ja-JP"/>
        </w:rPr>
        <w:t xml:space="preserve"> bandwidth. It is therefore important to make sure NR supports terminals that don’t support the full </w:t>
      </w:r>
      <w:r>
        <w:rPr>
          <w:lang w:eastAsia="ja-JP"/>
        </w:rPr>
        <w:t>channel</w:t>
      </w:r>
      <w:r w:rsidR="00185D0A">
        <w:rPr>
          <w:lang w:eastAsia="ja-JP"/>
        </w:rPr>
        <w:t xml:space="preserve"> bandwidth.</w:t>
      </w:r>
    </w:p>
    <w:p w14:paraId="1783EBC9" w14:textId="723E2902" w:rsidR="00185D0A" w:rsidRPr="00563652" w:rsidRDefault="00185D0A" w:rsidP="00DD4245">
      <w:pPr>
        <w:pStyle w:val="BodyText"/>
        <w:rPr>
          <w:b/>
          <w:i/>
          <w:lang w:eastAsia="ja-JP"/>
        </w:rPr>
      </w:pPr>
      <w:r w:rsidRPr="00563652">
        <w:rPr>
          <w:b/>
          <w:i/>
          <w:lang w:eastAsia="ja-JP"/>
        </w:rPr>
        <w:t xml:space="preserve">Proposal 1: An NR carrier shall support UEs with bandwidth support smaller than the </w:t>
      </w:r>
      <w:r w:rsidR="00354BB2">
        <w:rPr>
          <w:b/>
          <w:i/>
          <w:lang w:eastAsia="ja-JP"/>
        </w:rPr>
        <w:t>channel</w:t>
      </w:r>
      <w:r w:rsidRPr="00563652">
        <w:rPr>
          <w:b/>
          <w:i/>
          <w:lang w:eastAsia="ja-JP"/>
        </w:rPr>
        <w:t xml:space="preserve"> bandwidth.</w:t>
      </w:r>
    </w:p>
    <w:p w14:paraId="3AF937F1" w14:textId="240236E0" w:rsidR="00185D0A" w:rsidRDefault="00185D0A" w:rsidP="00DD4245">
      <w:pPr>
        <w:pStyle w:val="BodyText"/>
        <w:rPr>
          <w:lang w:eastAsia="ja-JP"/>
        </w:rPr>
      </w:pPr>
      <w:r>
        <w:rPr>
          <w:lang w:eastAsia="ja-JP"/>
        </w:rPr>
        <w:t xml:space="preserve">However, NR should go one step beyond. What happens if spectrum allocations become available requiring larger </w:t>
      </w:r>
      <w:r w:rsidR="00354BB2">
        <w:rPr>
          <w:lang w:eastAsia="ja-JP"/>
        </w:rPr>
        <w:t>channel</w:t>
      </w:r>
      <w:r>
        <w:rPr>
          <w:lang w:eastAsia="ja-JP"/>
        </w:rPr>
        <w:t xml:space="preserve"> bandwidth</w:t>
      </w:r>
      <w:r w:rsidR="00354BB2">
        <w:rPr>
          <w:lang w:eastAsia="ja-JP"/>
        </w:rPr>
        <w:t>s</w:t>
      </w:r>
      <w:r>
        <w:rPr>
          <w:lang w:eastAsia="ja-JP"/>
        </w:rPr>
        <w:t xml:space="preserve"> than envisioned today? </w:t>
      </w:r>
      <w:r w:rsidR="00354BB2">
        <w:rPr>
          <w:lang w:eastAsia="ja-JP"/>
        </w:rPr>
        <w:t>Possible solutions are</w:t>
      </w:r>
      <w:r>
        <w:rPr>
          <w:lang w:eastAsia="ja-JP"/>
        </w:rPr>
        <w:t xml:space="preserve"> either 1) </w:t>
      </w:r>
      <w:r w:rsidR="00354BB2">
        <w:rPr>
          <w:lang w:eastAsia="ja-JP"/>
        </w:rPr>
        <w:t xml:space="preserve">to </w:t>
      </w:r>
      <w:r>
        <w:rPr>
          <w:lang w:eastAsia="ja-JP"/>
        </w:rPr>
        <w:t xml:space="preserve">apply carrier aggregation with </w:t>
      </w:r>
      <w:r w:rsidR="003A73EF">
        <w:rPr>
          <w:lang w:eastAsia="ja-JP"/>
        </w:rPr>
        <w:t>legacy</w:t>
      </w:r>
      <w:r>
        <w:rPr>
          <w:lang w:eastAsia="ja-JP"/>
        </w:rPr>
        <w:t xml:space="preserve"> component carrier</w:t>
      </w:r>
      <w:r w:rsidR="003A73EF">
        <w:rPr>
          <w:lang w:eastAsia="ja-JP"/>
        </w:rPr>
        <w:t>s</w:t>
      </w:r>
      <w:r w:rsidR="00354BB2">
        <w:rPr>
          <w:lang w:eastAsia="ja-JP"/>
        </w:rPr>
        <w:t xml:space="preserve"> </w:t>
      </w:r>
      <w:r>
        <w:rPr>
          <w:lang w:eastAsia="ja-JP"/>
        </w:rPr>
        <w:t xml:space="preserve">or 2) </w:t>
      </w:r>
      <w:r w:rsidR="00354BB2">
        <w:rPr>
          <w:lang w:eastAsia="ja-JP"/>
        </w:rPr>
        <w:t xml:space="preserve">to </w:t>
      </w:r>
      <w:r>
        <w:rPr>
          <w:lang w:eastAsia="ja-JP"/>
        </w:rPr>
        <w:t xml:space="preserve">define new </w:t>
      </w:r>
      <w:r w:rsidR="00354BB2">
        <w:rPr>
          <w:lang w:eastAsia="ja-JP"/>
        </w:rPr>
        <w:t>channel</w:t>
      </w:r>
      <w:r>
        <w:rPr>
          <w:lang w:eastAsia="ja-JP"/>
        </w:rPr>
        <w:t xml:space="preserve"> bandwidth</w:t>
      </w:r>
      <w:r w:rsidR="00354BB2">
        <w:rPr>
          <w:lang w:eastAsia="ja-JP"/>
        </w:rPr>
        <w:t>s</w:t>
      </w:r>
      <w:r>
        <w:rPr>
          <w:lang w:eastAsia="ja-JP"/>
        </w:rPr>
        <w:t xml:space="preserve"> matching the new need.</w:t>
      </w:r>
    </w:p>
    <w:p w14:paraId="05E3DBB1" w14:textId="77777777" w:rsidR="00185D0A" w:rsidRDefault="00185D0A" w:rsidP="00185D0A">
      <w:pPr>
        <w:pStyle w:val="Heading2"/>
        <w:rPr>
          <w:lang w:eastAsia="ja-JP"/>
        </w:rPr>
      </w:pPr>
      <w:r>
        <w:rPr>
          <w:lang w:eastAsia="ja-JP"/>
        </w:rPr>
        <w:t>Carrier aggregation</w:t>
      </w:r>
    </w:p>
    <w:p w14:paraId="116FBF30" w14:textId="3409CBD4" w:rsidR="00185D0A" w:rsidRDefault="00185D0A" w:rsidP="00DD4245">
      <w:pPr>
        <w:pStyle w:val="BodyText"/>
        <w:rPr>
          <w:lang w:eastAsia="ja-JP"/>
        </w:rPr>
      </w:pPr>
      <w:r>
        <w:rPr>
          <w:lang w:eastAsia="ja-JP"/>
        </w:rPr>
        <w:t xml:space="preserve">Carrier aggregation </w:t>
      </w:r>
      <w:r w:rsidR="00A16AB2">
        <w:rPr>
          <w:lang w:eastAsia="ja-JP"/>
        </w:rPr>
        <w:t xml:space="preserve">is </w:t>
      </w:r>
      <w:r w:rsidR="004141B9">
        <w:rPr>
          <w:lang w:eastAsia="ja-JP"/>
        </w:rPr>
        <w:t>likely to be supported in NR</w:t>
      </w:r>
      <w:bookmarkStart w:id="3" w:name="_GoBack"/>
      <w:bookmarkEnd w:id="3"/>
      <w:r>
        <w:rPr>
          <w:lang w:eastAsia="ja-JP"/>
        </w:rPr>
        <w:t>. With carrier aggregation one has a tool to enable wider carrier bandwidth.</w:t>
      </w:r>
      <w:r w:rsidR="005D7107">
        <w:rPr>
          <w:lang w:eastAsia="ja-JP"/>
        </w:rPr>
        <w:t xml:space="preserve"> In LTE carrier aggregation each component carrier remains backwards compatible and we would expect the same for NR, i.e. legacy UEs can still access a component carrier also if part of a carrier aggregation compound.</w:t>
      </w:r>
    </w:p>
    <w:p w14:paraId="07065C86" w14:textId="77777777" w:rsidR="00185D0A" w:rsidRDefault="00185D0A" w:rsidP="00185D0A">
      <w:pPr>
        <w:pStyle w:val="Heading2"/>
        <w:rPr>
          <w:lang w:eastAsia="ja-JP"/>
        </w:rPr>
      </w:pPr>
      <w:r>
        <w:rPr>
          <w:lang w:eastAsia="ja-JP"/>
        </w:rPr>
        <w:t>Wideband carrier</w:t>
      </w:r>
    </w:p>
    <w:p w14:paraId="1A182A1E" w14:textId="0A7C83E1" w:rsidR="00185D0A" w:rsidRDefault="00185D0A" w:rsidP="00DD4245">
      <w:pPr>
        <w:pStyle w:val="BodyText"/>
        <w:rPr>
          <w:lang w:eastAsia="ja-JP"/>
        </w:rPr>
      </w:pPr>
      <w:r>
        <w:rPr>
          <w:lang w:eastAsia="ja-JP"/>
        </w:rPr>
        <w:t xml:space="preserve">The other solution is </w:t>
      </w:r>
      <w:r w:rsidR="003A73EF">
        <w:rPr>
          <w:lang w:eastAsia="ja-JP"/>
        </w:rPr>
        <w:t>to define</w:t>
      </w:r>
      <w:r w:rsidR="00354BB2">
        <w:rPr>
          <w:lang w:eastAsia="ja-JP"/>
        </w:rPr>
        <w:t xml:space="preserve"> wider carriers than</w:t>
      </w:r>
      <w:r>
        <w:rPr>
          <w:lang w:eastAsia="ja-JP"/>
        </w:rPr>
        <w:t xml:space="preserve"> what is already defined. This needs to be done transparent for existing terminals, i.e. existing terminals must still be able to access the widened carrier. Proposal</w:t>
      </w:r>
      <w:r w:rsidR="003A73EF">
        <w:rPr>
          <w:lang w:eastAsia="ja-JP"/>
        </w:rPr>
        <w:t xml:space="preserve"> 1 is a first step in</w:t>
      </w:r>
      <w:r>
        <w:rPr>
          <w:lang w:eastAsia="ja-JP"/>
        </w:rPr>
        <w:t xml:space="preserve"> this direction. However, one has to ensure that widening the </w:t>
      </w:r>
      <w:r w:rsidR="00D167C9">
        <w:rPr>
          <w:lang w:eastAsia="ja-JP"/>
        </w:rPr>
        <w:t>channel</w:t>
      </w:r>
      <w:r>
        <w:rPr>
          <w:lang w:eastAsia="ja-JP"/>
        </w:rPr>
        <w:t xml:space="preserve"> bandwidth does not require functionality that is either not implemented or not tested </w:t>
      </w:r>
      <w:r w:rsidR="003A73EF">
        <w:rPr>
          <w:lang w:eastAsia="ja-JP"/>
        </w:rPr>
        <w:t>i</w:t>
      </w:r>
      <w:r>
        <w:rPr>
          <w:lang w:eastAsia="ja-JP"/>
        </w:rPr>
        <w:t xml:space="preserve">n </w:t>
      </w:r>
      <w:r w:rsidR="00987DD5">
        <w:rPr>
          <w:lang w:eastAsia="ja-JP"/>
        </w:rPr>
        <w:t xml:space="preserve">legacy </w:t>
      </w:r>
      <w:r>
        <w:rPr>
          <w:lang w:eastAsia="ja-JP"/>
        </w:rPr>
        <w:t>terminals</w:t>
      </w:r>
      <w:r w:rsidR="00DC4F90">
        <w:rPr>
          <w:lang w:eastAsia="ja-JP"/>
        </w:rPr>
        <w:t xml:space="preserve"> since this would make it either impossible or at least unlikely that such widening would be acceptable in practice</w:t>
      </w:r>
      <w:r>
        <w:rPr>
          <w:lang w:eastAsia="ja-JP"/>
        </w:rPr>
        <w:t xml:space="preserve">. </w:t>
      </w:r>
    </w:p>
    <w:p w14:paraId="07C9FB28" w14:textId="5C6BF259" w:rsidR="005D7107" w:rsidRDefault="005D7107" w:rsidP="00DD4245">
      <w:pPr>
        <w:pStyle w:val="BodyText"/>
        <w:rPr>
          <w:lang w:eastAsia="ja-JP"/>
        </w:rPr>
      </w:pPr>
      <w:r w:rsidRPr="00563652">
        <w:rPr>
          <w:b/>
          <w:i/>
          <w:lang w:eastAsia="ja-JP"/>
        </w:rPr>
        <w:t xml:space="preserve">Proposal 2: </w:t>
      </w:r>
      <w:r>
        <w:rPr>
          <w:b/>
          <w:i/>
          <w:lang w:eastAsia="ja-JP"/>
        </w:rPr>
        <w:t>NR carriers are defined such that the maximum carrier bandwidth can be extended without breaking backwards compatibility. Legacy UEs camping on the widened NR carrier do not require</w:t>
      </w:r>
      <w:r w:rsidRPr="00563652">
        <w:rPr>
          <w:b/>
          <w:i/>
          <w:lang w:eastAsia="ja-JP"/>
        </w:rPr>
        <w:t xml:space="preserve"> new or untested </w:t>
      </w:r>
      <w:r>
        <w:rPr>
          <w:b/>
          <w:i/>
          <w:lang w:eastAsia="ja-JP"/>
        </w:rPr>
        <w:t>functionality</w:t>
      </w:r>
      <w:r w:rsidRPr="00563652">
        <w:rPr>
          <w:b/>
          <w:i/>
          <w:lang w:eastAsia="ja-JP"/>
        </w:rPr>
        <w:t>.</w:t>
      </w:r>
    </w:p>
    <w:p w14:paraId="2C148589" w14:textId="2733C2EE" w:rsidR="00185D0A" w:rsidRDefault="00563652" w:rsidP="00DD4245">
      <w:pPr>
        <w:pStyle w:val="BodyText"/>
        <w:rPr>
          <w:lang w:eastAsia="ja-JP"/>
        </w:rPr>
      </w:pPr>
      <w:r>
        <w:rPr>
          <w:lang w:eastAsia="ja-JP"/>
        </w:rPr>
        <w:t xml:space="preserve">One critical procedure is how a narrowband UE is moved from the frequency it performed initial access to its camping frequency. A legacy terminal must understand signaling referring to and must be able to camp on frequency portions of the widened carrier not present on the original carrier. </w:t>
      </w:r>
    </w:p>
    <w:p w14:paraId="3D8FE25D" w14:textId="228CD1E5" w:rsidR="00563652" w:rsidRDefault="00563652" w:rsidP="00563652">
      <w:pPr>
        <w:pStyle w:val="Heading1"/>
        <w:spacing w:before="180"/>
        <w:ind w:left="562" w:hanging="562"/>
      </w:pPr>
      <w:r>
        <w:t>Conclusions</w:t>
      </w:r>
    </w:p>
    <w:p w14:paraId="2A539AEF" w14:textId="1FB5F377" w:rsidR="00185D0A" w:rsidRDefault="00563652" w:rsidP="00DD4245">
      <w:pPr>
        <w:pStyle w:val="BodyText"/>
        <w:rPr>
          <w:lang w:eastAsia="ja-JP"/>
        </w:rPr>
      </w:pPr>
      <w:r>
        <w:rPr>
          <w:lang w:eastAsia="ja-JP"/>
        </w:rPr>
        <w:t xml:space="preserve">In this paper we discuss if and how the </w:t>
      </w:r>
      <w:r w:rsidR="00354BB2">
        <w:rPr>
          <w:lang w:eastAsia="ja-JP"/>
        </w:rPr>
        <w:t>maximum</w:t>
      </w:r>
      <w:r>
        <w:rPr>
          <w:lang w:eastAsia="ja-JP"/>
        </w:rPr>
        <w:t xml:space="preserve"> NR </w:t>
      </w:r>
      <w:r w:rsidR="00D167C9">
        <w:rPr>
          <w:lang w:eastAsia="ja-JP"/>
        </w:rPr>
        <w:t>channel</w:t>
      </w:r>
      <w:r>
        <w:rPr>
          <w:lang w:eastAsia="ja-JP"/>
        </w:rPr>
        <w:t xml:space="preserve"> bandwidth can be extended in a way transparent to legacy UEs. The following </w:t>
      </w:r>
      <w:r w:rsidR="00354BB2">
        <w:rPr>
          <w:lang w:eastAsia="ja-JP"/>
        </w:rPr>
        <w:t>proposals</w:t>
      </w:r>
      <w:r>
        <w:rPr>
          <w:lang w:eastAsia="ja-JP"/>
        </w:rPr>
        <w:t xml:space="preserve"> are made: </w:t>
      </w:r>
    </w:p>
    <w:p w14:paraId="529DF878" w14:textId="50CD7242" w:rsidR="00563652" w:rsidRDefault="00563652" w:rsidP="00563652">
      <w:pPr>
        <w:pStyle w:val="BodyText"/>
        <w:rPr>
          <w:b/>
          <w:i/>
          <w:lang w:eastAsia="ja-JP"/>
        </w:rPr>
      </w:pPr>
      <w:r w:rsidRPr="00563652">
        <w:rPr>
          <w:b/>
          <w:i/>
          <w:lang w:eastAsia="ja-JP"/>
        </w:rPr>
        <w:t xml:space="preserve">Proposal 1: An NR carrier shall support UEs with bandwidth support smaller than the </w:t>
      </w:r>
      <w:r w:rsidR="00DC4F90">
        <w:rPr>
          <w:b/>
          <w:i/>
          <w:lang w:eastAsia="ja-JP"/>
        </w:rPr>
        <w:t>channel</w:t>
      </w:r>
      <w:r w:rsidRPr="00563652">
        <w:rPr>
          <w:b/>
          <w:i/>
          <w:lang w:eastAsia="ja-JP"/>
        </w:rPr>
        <w:t xml:space="preserve"> bandwidth.</w:t>
      </w:r>
    </w:p>
    <w:p w14:paraId="3BE96D67" w14:textId="77777777" w:rsidR="005D7107" w:rsidRDefault="005D7107" w:rsidP="005D7107">
      <w:pPr>
        <w:pStyle w:val="BodyText"/>
        <w:rPr>
          <w:lang w:eastAsia="ja-JP"/>
        </w:rPr>
      </w:pPr>
      <w:r w:rsidRPr="00563652">
        <w:rPr>
          <w:b/>
          <w:i/>
          <w:lang w:eastAsia="ja-JP"/>
        </w:rPr>
        <w:t xml:space="preserve">Proposal 2: </w:t>
      </w:r>
      <w:r>
        <w:rPr>
          <w:b/>
          <w:i/>
          <w:lang w:eastAsia="ja-JP"/>
        </w:rPr>
        <w:t>NR carriers are defined such that the maximum carrier bandwidth can be extended without breaking backwards compatibility. Legacy UEs camping on the widened NR carrier do not require</w:t>
      </w:r>
      <w:r w:rsidRPr="00563652">
        <w:rPr>
          <w:b/>
          <w:i/>
          <w:lang w:eastAsia="ja-JP"/>
        </w:rPr>
        <w:t xml:space="preserve"> new or untested </w:t>
      </w:r>
      <w:r>
        <w:rPr>
          <w:b/>
          <w:i/>
          <w:lang w:eastAsia="ja-JP"/>
        </w:rPr>
        <w:t>functionality</w:t>
      </w:r>
      <w:r w:rsidRPr="00563652">
        <w:rPr>
          <w:b/>
          <w:i/>
          <w:lang w:eastAsia="ja-JP"/>
        </w:rPr>
        <w:t>.</w:t>
      </w:r>
    </w:p>
    <w:p w14:paraId="7CDE1869" w14:textId="6A2C2DE4" w:rsidR="00354BB2" w:rsidRDefault="00354BB2" w:rsidP="00354BB2">
      <w:pPr>
        <w:pStyle w:val="BodyText"/>
        <w:rPr>
          <w:b/>
          <w:i/>
          <w:lang w:eastAsia="ja-JP"/>
        </w:rPr>
      </w:pPr>
    </w:p>
    <w:sectPr w:rsidR="00354B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B7435" w14:textId="77777777" w:rsidR="00FA4C4C" w:rsidRDefault="00FA4C4C">
      <w:r>
        <w:separator/>
      </w:r>
    </w:p>
  </w:endnote>
  <w:endnote w:type="continuationSeparator" w:id="0">
    <w:p w14:paraId="0A971F56" w14:textId="77777777" w:rsidR="00FA4C4C" w:rsidRDefault="00FA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869D7" w14:textId="77777777" w:rsidR="00FA4C4C" w:rsidRDefault="00FA4C4C">
      <w:r>
        <w:separator/>
      </w:r>
    </w:p>
  </w:footnote>
  <w:footnote w:type="continuationSeparator" w:id="0">
    <w:p w14:paraId="14A90FD7" w14:textId="77777777" w:rsidR="00FA4C4C" w:rsidRDefault="00FA4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FA4C4C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2"/>
  </w:num>
  <w:num w:numId="8">
    <w:abstractNumId w:val="14"/>
  </w:num>
  <w:num w:numId="9">
    <w:abstractNumId w:val="14"/>
  </w:num>
  <w:num w:numId="10">
    <w:abstractNumId w:val="13"/>
  </w:num>
  <w:num w:numId="11">
    <w:abstractNumId w:val="14"/>
  </w:num>
  <w:num w:numId="12">
    <w:abstractNumId w:val="11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22647"/>
    <w:rsid w:val="00037C51"/>
    <w:rsid w:val="0004251E"/>
    <w:rsid w:val="000613D3"/>
    <w:rsid w:val="000A258F"/>
    <w:rsid w:val="001018DF"/>
    <w:rsid w:val="0010795C"/>
    <w:rsid w:val="00112E18"/>
    <w:rsid w:val="00114B6A"/>
    <w:rsid w:val="00141448"/>
    <w:rsid w:val="0015130F"/>
    <w:rsid w:val="00175D32"/>
    <w:rsid w:val="00185D0A"/>
    <w:rsid w:val="00191E60"/>
    <w:rsid w:val="001B4110"/>
    <w:rsid w:val="001C5CE9"/>
    <w:rsid w:val="0021013F"/>
    <w:rsid w:val="00214784"/>
    <w:rsid w:val="00260F3F"/>
    <w:rsid w:val="00290099"/>
    <w:rsid w:val="002D0AB6"/>
    <w:rsid w:val="002E6A70"/>
    <w:rsid w:val="00304706"/>
    <w:rsid w:val="00343A18"/>
    <w:rsid w:val="00350180"/>
    <w:rsid w:val="00354BB2"/>
    <w:rsid w:val="00361CA8"/>
    <w:rsid w:val="0037486E"/>
    <w:rsid w:val="003875A3"/>
    <w:rsid w:val="003A3E47"/>
    <w:rsid w:val="003A73EF"/>
    <w:rsid w:val="003C6C36"/>
    <w:rsid w:val="004067C0"/>
    <w:rsid w:val="004141B9"/>
    <w:rsid w:val="00422F7B"/>
    <w:rsid w:val="004837C7"/>
    <w:rsid w:val="004B57FD"/>
    <w:rsid w:val="004C321E"/>
    <w:rsid w:val="004D0694"/>
    <w:rsid w:val="004E70DB"/>
    <w:rsid w:val="00525831"/>
    <w:rsid w:val="00537B4C"/>
    <w:rsid w:val="0054164C"/>
    <w:rsid w:val="00541E43"/>
    <w:rsid w:val="0055264E"/>
    <w:rsid w:val="0056282E"/>
    <w:rsid w:val="00563652"/>
    <w:rsid w:val="00570BCE"/>
    <w:rsid w:val="00587AD2"/>
    <w:rsid w:val="00590538"/>
    <w:rsid w:val="005B5A6B"/>
    <w:rsid w:val="005C439D"/>
    <w:rsid w:val="005D7107"/>
    <w:rsid w:val="005F1EBA"/>
    <w:rsid w:val="0061336B"/>
    <w:rsid w:val="0062673F"/>
    <w:rsid w:val="00665E2A"/>
    <w:rsid w:val="0067157B"/>
    <w:rsid w:val="00686E0A"/>
    <w:rsid w:val="006A286A"/>
    <w:rsid w:val="006B271B"/>
    <w:rsid w:val="007510A3"/>
    <w:rsid w:val="0075384C"/>
    <w:rsid w:val="007569CA"/>
    <w:rsid w:val="007A01C0"/>
    <w:rsid w:val="007D3353"/>
    <w:rsid w:val="00815566"/>
    <w:rsid w:val="00834DE7"/>
    <w:rsid w:val="00853D21"/>
    <w:rsid w:val="00855236"/>
    <w:rsid w:val="008920DF"/>
    <w:rsid w:val="008A0B64"/>
    <w:rsid w:val="008B23D4"/>
    <w:rsid w:val="008E31D2"/>
    <w:rsid w:val="008F77A7"/>
    <w:rsid w:val="0091288D"/>
    <w:rsid w:val="0097401A"/>
    <w:rsid w:val="00987DD5"/>
    <w:rsid w:val="009A6BB8"/>
    <w:rsid w:val="009B2E48"/>
    <w:rsid w:val="009C60EA"/>
    <w:rsid w:val="009E70EF"/>
    <w:rsid w:val="009F4079"/>
    <w:rsid w:val="00A015E4"/>
    <w:rsid w:val="00A16AB2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C1363"/>
    <w:rsid w:val="00AC2A5F"/>
    <w:rsid w:val="00AE3947"/>
    <w:rsid w:val="00B00FDB"/>
    <w:rsid w:val="00B32D01"/>
    <w:rsid w:val="00B368D9"/>
    <w:rsid w:val="00B52C5F"/>
    <w:rsid w:val="00BA2CDD"/>
    <w:rsid w:val="00BA3D9B"/>
    <w:rsid w:val="00BA76BC"/>
    <w:rsid w:val="00BF7E13"/>
    <w:rsid w:val="00C03087"/>
    <w:rsid w:val="00C1560A"/>
    <w:rsid w:val="00C326A6"/>
    <w:rsid w:val="00C50B3C"/>
    <w:rsid w:val="00C55346"/>
    <w:rsid w:val="00C61496"/>
    <w:rsid w:val="00C83C8A"/>
    <w:rsid w:val="00C93774"/>
    <w:rsid w:val="00CD4414"/>
    <w:rsid w:val="00CE02E7"/>
    <w:rsid w:val="00CE28B2"/>
    <w:rsid w:val="00CF2225"/>
    <w:rsid w:val="00CF442A"/>
    <w:rsid w:val="00CF67BE"/>
    <w:rsid w:val="00D02349"/>
    <w:rsid w:val="00D03119"/>
    <w:rsid w:val="00D04257"/>
    <w:rsid w:val="00D167C9"/>
    <w:rsid w:val="00D350E3"/>
    <w:rsid w:val="00D4239B"/>
    <w:rsid w:val="00D516DD"/>
    <w:rsid w:val="00D701A0"/>
    <w:rsid w:val="00DA110D"/>
    <w:rsid w:val="00DB3BC8"/>
    <w:rsid w:val="00DC085D"/>
    <w:rsid w:val="00DC4F90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F21365"/>
    <w:rsid w:val="00F37D49"/>
    <w:rsid w:val="00FA4C4C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F4A35-D034-46EF-B8E4-6C075CD0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Robert Baldemair</cp:lastModifiedBy>
  <cp:revision>3</cp:revision>
  <dcterms:created xsi:type="dcterms:W3CDTF">2016-09-30T08:47:00Z</dcterms:created>
  <dcterms:modified xsi:type="dcterms:W3CDTF">2016-09-30T14:16:00Z</dcterms:modified>
</cp:coreProperties>
</file>